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C16E" w14:textId="77777777" w:rsidR="009D573B" w:rsidRDefault="00E44A65" w:rsidP="009D573B">
      <w:pPr>
        <w:spacing w:line="240" w:lineRule="auto"/>
        <w:jc w:val="center"/>
        <w:rPr>
          <w:rFonts w:ascii="Rotis Sans Serif Std" w:hAnsi="Rotis Sans Serif Std"/>
          <w:sz w:val="20"/>
          <w:szCs w:val="20"/>
        </w:rPr>
      </w:pPr>
      <w:r>
        <w:rPr>
          <w:rFonts w:ascii="Rotis Sans Serif Std" w:hAnsi="Rotis Sans Serif Std"/>
          <w:noProof/>
          <w:sz w:val="20"/>
          <w:szCs w:val="20"/>
          <w14:ligatures w14:val="none"/>
          <w14:cntxtAlts w14:val="0"/>
        </w:rPr>
        <w:drawing>
          <wp:anchor distT="0" distB="0" distL="114300" distR="114300" simplePos="0" relativeHeight="251658240" behindDoc="0" locked="0" layoutInCell="1" allowOverlap="1" wp14:anchorId="0D445DE5" wp14:editId="70FE8ED9">
            <wp:simplePos x="0" y="0"/>
            <wp:positionH relativeFrom="margin">
              <wp:posOffset>1206240</wp:posOffset>
            </wp:positionH>
            <wp:positionV relativeFrom="margin">
              <wp:posOffset>-444015</wp:posOffset>
            </wp:positionV>
            <wp:extent cx="3432810" cy="951865"/>
            <wp:effectExtent l="0" t="0" r="0" b="635"/>
            <wp:wrapSquare wrapText="bothSides"/>
            <wp:docPr id="1" name="Grafik 1" descr="C:\Users\c.falk\AppData\Local\Microsoft\Windows\Temporary Internet Files\Content.Outlook\GBLIG1GQ\wei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alk\AppData\Local\Microsoft\Windows\Temporary Internet Files\Content.Outlook\GBLIG1GQ\weiß.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2810"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7726D" w14:textId="77777777" w:rsidR="00E44A65" w:rsidRDefault="00E44A65" w:rsidP="00097A8E">
      <w:pPr>
        <w:jc w:val="both"/>
        <w:rPr>
          <w:rFonts w:ascii="Rotis Sans Serif Std" w:hAnsi="Rotis Sans Serif Std"/>
          <w:sz w:val="20"/>
          <w:szCs w:val="20"/>
        </w:rPr>
      </w:pPr>
    </w:p>
    <w:p w14:paraId="51E29FDD" w14:textId="77777777" w:rsidR="001D69E3" w:rsidRDefault="001D69E3" w:rsidP="0085615B">
      <w:pPr>
        <w:rPr>
          <w:rFonts w:ascii="Rotis Sans Serif Std" w:hAnsi="Rotis Sans Serif Std"/>
          <w:sz w:val="20"/>
          <w:szCs w:val="20"/>
        </w:rPr>
      </w:pPr>
    </w:p>
    <w:p w14:paraId="3D94EFFB" w14:textId="3FECDCB3" w:rsidR="001D69E3" w:rsidRPr="00245431" w:rsidRDefault="0079298B" w:rsidP="001D69E3">
      <w:pPr>
        <w:spacing w:line="240" w:lineRule="auto"/>
        <w:rPr>
          <w:rFonts w:ascii="Rotis Sans Serif Std" w:hAnsi="Rotis Sans Serif Std"/>
          <w:b/>
          <w:bCs/>
          <w:color w:val="auto"/>
          <w:sz w:val="34"/>
          <w:szCs w:val="34"/>
          <w:lang w:val="en-US"/>
        </w:rPr>
      </w:pPr>
      <w:r w:rsidRPr="00245431">
        <w:rPr>
          <w:rFonts w:ascii="Rotis Sans Serif Std" w:hAnsi="Rotis Sans Serif Std"/>
          <w:b/>
          <w:color w:val="auto"/>
          <w:sz w:val="34"/>
          <w:szCs w:val="34"/>
          <w:lang w:val="en-US"/>
        </w:rPr>
        <w:t xml:space="preserve">Outsourcing- </w:t>
      </w:r>
      <w:r w:rsidR="00245431">
        <w:rPr>
          <w:rFonts w:ascii="Rotis Sans Serif Std" w:hAnsi="Rotis Sans Serif Std"/>
          <w:b/>
          <w:color w:val="auto"/>
          <w:sz w:val="34"/>
          <w:szCs w:val="34"/>
          <w:lang w:val="en-US"/>
        </w:rPr>
        <w:t>&amp;</w:t>
      </w:r>
      <w:r w:rsidRPr="00245431">
        <w:rPr>
          <w:rFonts w:ascii="Rotis Sans Serif Std" w:hAnsi="Rotis Sans Serif Std"/>
          <w:b/>
          <w:color w:val="auto"/>
          <w:sz w:val="34"/>
          <w:szCs w:val="34"/>
          <w:lang w:val="en-US"/>
        </w:rPr>
        <w:t xml:space="preserve"> Procurement-Manager</w:t>
      </w:r>
      <w:r w:rsidR="00A4240D" w:rsidRPr="00245431">
        <w:rPr>
          <w:rFonts w:ascii="Rotis Sans Serif Std" w:hAnsi="Rotis Sans Serif Std"/>
          <w:b/>
          <w:color w:val="auto"/>
          <w:sz w:val="34"/>
          <w:szCs w:val="34"/>
          <w:lang w:val="en-US"/>
        </w:rPr>
        <w:t xml:space="preserve"> (m/w/d)</w:t>
      </w:r>
    </w:p>
    <w:p w14:paraId="7F554E32" w14:textId="77777777" w:rsidR="00610595" w:rsidRPr="00245431" w:rsidRDefault="00610595" w:rsidP="001D69E3">
      <w:pPr>
        <w:spacing w:line="240" w:lineRule="auto"/>
        <w:rPr>
          <w:rFonts w:ascii="Rotis Sans Serif Std" w:hAnsi="Rotis Sans Serif Std"/>
          <w:b/>
          <w:bCs/>
          <w:color w:val="auto"/>
          <w:sz w:val="20"/>
          <w:szCs w:val="20"/>
          <w:lang w:val="en-US"/>
        </w:rPr>
      </w:pPr>
    </w:p>
    <w:p w14:paraId="3425F7AB" w14:textId="52A0D697" w:rsidR="001D69E3" w:rsidRDefault="001D69E3" w:rsidP="001D69E3">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t>Standort:</w:t>
      </w:r>
      <w:r w:rsidRPr="001D69E3">
        <w:rPr>
          <w:rFonts w:ascii="Rotis Sans Serif Std" w:hAnsi="Rotis Sans Serif Std"/>
          <w:color w:val="auto"/>
          <w:sz w:val="20"/>
          <w:szCs w:val="20"/>
        </w:rPr>
        <w:t xml:space="preserve"> </w:t>
      </w:r>
      <w:r>
        <w:rPr>
          <w:rFonts w:ascii="Rotis Sans Serif Std" w:hAnsi="Rotis Sans Serif Std"/>
          <w:color w:val="auto"/>
          <w:sz w:val="20"/>
          <w:szCs w:val="20"/>
        </w:rPr>
        <w:t>München</w:t>
      </w:r>
      <w:r w:rsidRPr="001D69E3">
        <w:rPr>
          <w:rFonts w:ascii="Rotis Sans Serif Std" w:hAnsi="Rotis Sans Serif Std"/>
          <w:color w:val="auto"/>
          <w:sz w:val="20"/>
          <w:szCs w:val="20"/>
        </w:rPr>
        <w:br/>
      </w:r>
      <w:r w:rsidRPr="001D69E3">
        <w:rPr>
          <w:rFonts w:ascii="Rotis Sans Serif Std" w:hAnsi="Rotis Sans Serif Std"/>
          <w:b/>
          <w:bCs/>
          <w:color w:val="auto"/>
          <w:sz w:val="20"/>
          <w:szCs w:val="20"/>
        </w:rPr>
        <w:t>Arbeitszeit:</w:t>
      </w:r>
      <w:r w:rsidRPr="001D69E3">
        <w:rPr>
          <w:rFonts w:ascii="Rotis Sans Serif Std" w:hAnsi="Rotis Sans Serif Std"/>
          <w:color w:val="auto"/>
          <w:sz w:val="20"/>
          <w:szCs w:val="20"/>
        </w:rPr>
        <w:t xml:space="preserve"> Vollzeit</w:t>
      </w:r>
      <w:r w:rsidRPr="001D69E3">
        <w:rPr>
          <w:rFonts w:ascii="Rotis Sans Serif Std" w:hAnsi="Rotis Sans Serif Std"/>
          <w:color w:val="auto"/>
          <w:sz w:val="20"/>
          <w:szCs w:val="20"/>
        </w:rPr>
        <w:br/>
      </w:r>
      <w:r w:rsidRPr="001D69E3">
        <w:rPr>
          <w:rFonts w:ascii="Rotis Sans Serif Std" w:hAnsi="Rotis Sans Serif Std"/>
          <w:b/>
          <w:bCs/>
          <w:color w:val="auto"/>
          <w:sz w:val="20"/>
          <w:szCs w:val="20"/>
        </w:rPr>
        <w:t>Startdatum:</w:t>
      </w:r>
      <w:r w:rsidRPr="001D69E3">
        <w:rPr>
          <w:rFonts w:ascii="Rotis Sans Serif Std" w:hAnsi="Rotis Sans Serif Std"/>
          <w:color w:val="auto"/>
          <w:sz w:val="20"/>
          <w:szCs w:val="20"/>
        </w:rPr>
        <w:t xml:space="preserve"> </w:t>
      </w:r>
      <w:r>
        <w:rPr>
          <w:rFonts w:ascii="Rotis Sans Serif Std" w:hAnsi="Rotis Sans Serif Std"/>
          <w:color w:val="auto"/>
          <w:sz w:val="20"/>
          <w:szCs w:val="20"/>
        </w:rPr>
        <w:t>Ab sofort</w:t>
      </w:r>
    </w:p>
    <w:p w14:paraId="3B73556C" w14:textId="77777777" w:rsidR="00610595" w:rsidRDefault="00610595" w:rsidP="001D69E3">
      <w:pPr>
        <w:spacing w:line="240" w:lineRule="auto"/>
        <w:rPr>
          <w:rFonts w:ascii="Rotis Sans Serif Std" w:hAnsi="Rotis Sans Serif Std"/>
          <w:color w:val="auto"/>
          <w:sz w:val="20"/>
          <w:szCs w:val="20"/>
        </w:rPr>
      </w:pPr>
    </w:p>
    <w:p w14:paraId="528E8C68" w14:textId="76B9E03C" w:rsidR="001D69E3" w:rsidRDefault="001D69E3" w:rsidP="0085615B">
      <w:pPr>
        <w:rPr>
          <w:rFonts w:ascii="Rotis Sans Serif Std" w:hAnsi="Rotis Sans Serif Std"/>
          <w:color w:val="auto"/>
          <w:sz w:val="20"/>
          <w:szCs w:val="20"/>
        </w:rPr>
      </w:pPr>
      <w:r w:rsidRPr="001D69E3">
        <w:rPr>
          <w:rFonts w:ascii="Rotis Sans Serif Std" w:hAnsi="Rotis Sans Serif Std"/>
          <w:b/>
          <w:bCs/>
          <w:color w:val="auto"/>
          <w:sz w:val="20"/>
          <w:szCs w:val="20"/>
        </w:rPr>
        <w:t>Über uns:</w:t>
      </w:r>
    </w:p>
    <w:p w14:paraId="06967A69" w14:textId="5CDB7D73" w:rsidR="0085615B" w:rsidRDefault="00A4240D" w:rsidP="005E535F">
      <w:pPr>
        <w:spacing w:after="0"/>
        <w:jc w:val="both"/>
        <w:rPr>
          <w:rFonts w:ascii="Rotis Sans Serif Std" w:hAnsi="Rotis Sans Serif Std"/>
          <w:b/>
          <w:color w:val="auto"/>
          <w:sz w:val="20"/>
          <w:szCs w:val="20"/>
        </w:rPr>
      </w:pPr>
      <w:r w:rsidRPr="00A4240D">
        <w:rPr>
          <w:rFonts w:ascii="Rotis Sans Serif Std" w:hAnsi="Rotis Sans Serif Std"/>
          <w:color w:val="auto"/>
          <w:sz w:val="20"/>
          <w:szCs w:val="20"/>
        </w:rPr>
        <w:t>Die DEUTSCHE FINANCE GROUP als internationale Investmentgesellschaft mit Hauptsitz in München und weiteren Präsenzen in London, Denver, Luxemburg, Zürich und Madrid verwaltet über 12 Milliarden Euro an Vermögen und bietet Investoren Zugang zu institutionellen Märkten und exklusiven Investments in den Bereichen Private Equity Real Estate, Immobilien und Infrastruktur.</w:t>
      </w:r>
      <w:r w:rsidR="001D69E3" w:rsidRPr="000C03CA">
        <w:rPr>
          <w:rFonts w:ascii="Rotis Sans Serif Std" w:hAnsi="Rotis Sans Serif Std"/>
          <w:color w:val="auto"/>
          <w:sz w:val="20"/>
          <w:szCs w:val="20"/>
        </w:rPr>
        <w:br/>
      </w:r>
      <w:r w:rsidR="009D573B" w:rsidRPr="000C03CA">
        <w:rPr>
          <w:rFonts w:ascii="Rotis Sans Serif Std" w:hAnsi="Rotis Sans Serif Std"/>
          <w:color w:val="auto"/>
          <w:sz w:val="20"/>
          <w:szCs w:val="20"/>
        </w:rPr>
        <w:br/>
      </w:r>
      <w:r w:rsidR="009D573B" w:rsidRPr="000C03CA">
        <w:rPr>
          <w:rFonts w:ascii="Rotis Sans Serif Std" w:hAnsi="Rotis Sans Serif Std"/>
          <w:b/>
          <w:color w:val="auto"/>
          <w:sz w:val="20"/>
          <w:szCs w:val="20"/>
        </w:rPr>
        <w:t>Ihre Aufgaben:</w:t>
      </w:r>
    </w:p>
    <w:p w14:paraId="6CCADAE9" w14:textId="77777777" w:rsidR="00671E5F" w:rsidRDefault="00671E5F" w:rsidP="005E535F">
      <w:pPr>
        <w:spacing w:after="0"/>
        <w:jc w:val="both"/>
        <w:rPr>
          <w:rFonts w:ascii="Rotis Sans Serif Std" w:hAnsi="Rotis Sans Serif Std"/>
          <w:b/>
          <w:color w:val="auto"/>
          <w:sz w:val="20"/>
          <w:szCs w:val="20"/>
        </w:rPr>
      </w:pPr>
    </w:p>
    <w:p w14:paraId="62ABF9FA" w14:textId="01958D1F" w:rsidR="006C5137" w:rsidRPr="001D69E3" w:rsidRDefault="00671E5F" w:rsidP="006C5137">
      <w:pPr>
        <w:numPr>
          <w:ilvl w:val="0"/>
          <w:numId w:val="8"/>
        </w:numPr>
        <w:spacing w:line="240" w:lineRule="auto"/>
        <w:rPr>
          <w:rFonts w:ascii="Rotis Sans Serif Std" w:hAnsi="Rotis Sans Serif Std"/>
          <w:color w:val="auto"/>
          <w:sz w:val="20"/>
          <w:szCs w:val="20"/>
        </w:rPr>
      </w:pPr>
      <w:bookmarkStart w:id="0" w:name="_Hlk191919319"/>
      <w:r>
        <w:rPr>
          <w:rFonts w:ascii="Rotis Sans Serif Std" w:hAnsi="Rotis Sans Serif Std"/>
          <w:b/>
          <w:bCs/>
          <w:color w:val="auto"/>
          <w:sz w:val="20"/>
          <w:szCs w:val="20"/>
        </w:rPr>
        <w:t>Strategische Partnerschaften</w:t>
      </w:r>
    </w:p>
    <w:bookmarkEnd w:id="0"/>
    <w:p w14:paraId="7D7F8A92" w14:textId="77777777" w:rsidR="000C5834" w:rsidRDefault="000C5834" w:rsidP="000C5834">
      <w:pPr>
        <w:pStyle w:val="Listenabsatz"/>
        <w:numPr>
          <w:ilvl w:val="0"/>
          <w:numId w:val="16"/>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Verantwortung für das Management und die Steuerung strategischer Provider, um optimale Ergebnisse im Einklang mit Unternehmenswerten und regulatorischen Vorgaben sicherzustellen</w:t>
      </w:r>
    </w:p>
    <w:p w14:paraId="4FA277F3" w14:textId="675D3322" w:rsidR="000C5834" w:rsidRPr="000C5834" w:rsidRDefault="000C5834" w:rsidP="000C5834">
      <w:pPr>
        <w:pStyle w:val="Listenabsatz"/>
        <w:numPr>
          <w:ilvl w:val="0"/>
          <w:numId w:val="16"/>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Überwachung von Budget, KPIs und Service Level Agreements zur Sicherstellung erstklassiger Leistungen durch Outsourcing-Partner</w:t>
      </w:r>
    </w:p>
    <w:p w14:paraId="61F6524C" w14:textId="47B4E5CB" w:rsidR="000C5834" w:rsidRPr="001D69E3" w:rsidRDefault="000C5834" w:rsidP="000C5834">
      <w:pPr>
        <w:numPr>
          <w:ilvl w:val="0"/>
          <w:numId w:val="8"/>
        </w:numPr>
        <w:spacing w:line="240" w:lineRule="auto"/>
        <w:rPr>
          <w:rFonts w:ascii="Rotis Sans Serif Std" w:hAnsi="Rotis Sans Serif Std"/>
          <w:color w:val="auto"/>
          <w:sz w:val="20"/>
          <w:szCs w:val="20"/>
        </w:rPr>
      </w:pPr>
      <w:bookmarkStart w:id="1" w:name="_Hlk191919370"/>
      <w:r>
        <w:rPr>
          <w:rFonts w:ascii="Rotis Sans Serif Std" w:hAnsi="Rotis Sans Serif Std"/>
          <w:b/>
          <w:bCs/>
          <w:color w:val="auto"/>
          <w:sz w:val="20"/>
          <w:szCs w:val="20"/>
        </w:rPr>
        <w:t>Prozessoptimierung und Innovation</w:t>
      </w:r>
    </w:p>
    <w:bookmarkEnd w:id="1"/>
    <w:p w14:paraId="308F59EB" w14:textId="77777777" w:rsidR="000C5834" w:rsidRDefault="000C5834" w:rsidP="000C5834">
      <w:pPr>
        <w:pStyle w:val="Listenabsatz"/>
        <w:numPr>
          <w:ilvl w:val="0"/>
          <w:numId w:val="17"/>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Schnittstelle zwischen internen Fachbereichen und externen Providern zur Förderung einer effizienten und reibungslosen Zusammenarbeit</w:t>
      </w:r>
    </w:p>
    <w:p w14:paraId="135794F0" w14:textId="77777777" w:rsidR="000C5834" w:rsidRDefault="000C5834" w:rsidP="000C5834">
      <w:pPr>
        <w:pStyle w:val="Listenabsatz"/>
        <w:numPr>
          <w:ilvl w:val="0"/>
          <w:numId w:val="17"/>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Marktanalyse, Auswahl und Onboarding neuer Provider sowie Entwicklung von Notfall- und Exitstrategien</w:t>
      </w:r>
    </w:p>
    <w:p w14:paraId="4679A9E0" w14:textId="77777777" w:rsidR="000C5834" w:rsidRDefault="000C5834" w:rsidP="000C5834">
      <w:pPr>
        <w:pStyle w:val="Listenabsatz"/>
        <w:numPr>
          <w:ilvl w:val="0"/>
          <w:numId w:val="17"/>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 xml:space="preserve">Leitung und Moderation von Steering </w:t>
      </w:r>
      <w:proofErr w:type="spellStart"/>
      <w:r w:rsidRPr="000C5834">
        <w:rPr>
          <w:rFonts w:ascii="Rotis Sans Serif Std" w:hAnsi="Rotis Sans Serif Std"/>
          <w:color w:val="auto"/>
          <w:sz w:val="20"/>
          <w:szCs w:val="20"/>
        </w:rPr>
        <w:t>Committees</w:t>
      </w:r>
      <w:proofErr w:type="spellEnd"/>
      <w:r w:rsidRPr="000C5834">
        <w:rPr>
          <w:rFonts w:ascii="Rotis Sans Serif Std" w:hAnsi="Rotis Sans Serif Std"/>
          <w:color w:val="auto"/>
          <w:sz w:val="20"/>
          <w:szCs w:val="20"/>
        </w:rPr>
        <w:t xml:space="preserve"> mit externen Partnern sowie Erstellung von Entscheidungsvorlagen für das Senior Management</w:t>
      </w:r>
    </w:p>
    <w:p w14:paraId="73DD7AB4" w14:textId="0A9663A7" w:rsidR="000C5834" w:rsidRDefault="000C5834" w:rsidP="000C5834">
      <w:pPr>
        <w:pStyle w:val="Listenabsatz"/>
        <w:numPr>
          <w:ilvl w:val="0"/>
          <w:numId w:val="17"/>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Durchführung von Projekt- und Change-Management-Aufgaben im Bereich Outsourcing zur kontinuierlichen Prozessoptimierung</w:t>
      </w:r>
    </w:p>
    <w:p w14:paraId="471371C1" w14:textId="0E89E23F" w:rsidR="000C5834" w:rsidRPr="001D69E3" w:rsidRDefault="000C5834" w:rsidP="000C5834">
      <w:pPr>
        <w:numPr>
          <w:ilvl w:val="0"/>
          <w:numId w:val="8"/>
        </w:numPr>
        <w:spacing w:line="240" w:lineRule="auto"/>
        <w:rPr>
          <w:rFonts w:ascii="Rotis Sans Serif Std" w:hAnsi="Rotis Sans Serif Std"/>
          <w:color w:val="auto"/>
          <w:sz w:val="20"/>
          <w:szCs w:val="20"/>
        </w:rPr>
      </w:pPr>
      <w:r>
        <w:rPr>
          <w:rFonts w:ascii="Rotis Sans Serif Std" w:hAnsi="Rotis Sans Serif Std"/>
          <w:b/>
          <w:bCs/>
          <w:color w:val="auto"/>
          <w:sz w:val="20"/>
          <w:szCs w:val="20"/>
        </w:rPr>
        <w:t>Qualitätssicherung, Compliance und Nachhaltigkeit</w:t>
      </w:r>
    </w:p>
    <w:p w14:paraId="754E8659" w14:textId="77777777" w:rsidR="000C5834" w:rsidRDefault="000C5834" w:rsidP="000C5834">
      <w:pPr>
        <w:pStyle w:val="Listenabsatz"/>
        <w:numPr>
          <w:ilvl w:val="0"/>
          <w:numId w:val="18"/>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 xml:space="preserve">Sicherstellung der Einhaltung von </w:t>
      </w:r>
      <w:proofErr w:type="spellStart"/>
      <w:r w:rsidRPr="000C5834">
        <w:rPr>
          <w:rFonts w:ascii="Rotis Sans Serif Std" w:hAnsi="Rotis Sans Serif Std"/>
          <w:color w:val="auto"/>
          <w:sz w:val="20"/>
          <w:szCs w:val="20"/>
        </w:rPr>
        <w:t>Governance</w:t>
      </w:r>
      <w:proofErr w:type="spellEnd"/>
      <w:r w:rsidRPr="000C5834">
        <w:rPr>
          <w:rFonts w:ascii="Rotis Sans Serif Std" w:hAnsi="Rotis Sans Serif Std"/>
          <w:color w:val="auto"/>
          <w:sz w:val="20"/>
          <w:szCs w:val="20"/>
        </w:rPr>
        <w:t>-Richtlinien sowie der korrekten Durchführung aller relevanten Prozesse, einschließlich Rechnungsprüfung</w:t>
      </w:r>
    </w:p>
    <w:p w14:paraId="604DBD5F" w14:textId="77777777" w:rsidR="000C5834" w:rsidRDefault="000C5834" w:rsidP="000C5834">
      <w:pPr>
        <w:pStyle w:val="Listenabsatz"/>
        <w:numPr>
          <w:ilvl w:val="0"/>
          <w:numId w:val="18"/>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Förderung von Nachhaltigkeit und sozialer Verantwortung entlang der Wertschöpfungskette unter Berücksichtigung wirtschaftlicher Effizienz</w:t>
      </w:r>
    </w:p>
    <w:p w14:paraId="04FF8A63" w14:textId="52BD3A73" w:rsidR="008E3DD1" w:rsidRPr="000C5834" w:rsidRDefault="000C5834" w:rsidP="006C5137">
      <w:pPr>
        <w:pStyle w:val="Listenabsatz"/>
        <w:numPr>
          <w:ilvl w:val="0"/>
          <w:numId w:val="18"/>
        </w:numPr>
        <w:spacing w:line="240" w:lineRule="auto"/>
        <w:rPr>
          <w:rFonts w:ascii="Rotis Sans Serif Std" w:hAnsi="Rotis Sans Serif Std"/>
          <w:color w:val="auto"/>
          <w:sz w:val="20"/>
          <w:szCs w:val="20"/>
        </w:rPr>
      </w:pPr>
      <w:r w:rsidRPr="000C5834">
        <w:rPr>
          <w:rFonts w:ascii="Rotis Sans Serif Std" w:hAnsi="Rotis Sans Serif Std"/>
          <w:color w:val="auto"/>
          <w:sz w:val="20"/>
          <w:szCs w:val="20"/>
        </w:rPr>
        <w:t>Erstellung und Analyse von Reports und KPIs zur Erfolgskontrolle sowie Ableitung von Optimierungsmaßnahmen</w:t>
      </w:r>
    </w:p>
    <w:p w14:paraId="39F700EE" w14:textId="073E5D45" w:rsidR="008E3DD1" w:rsidRDefault="006C5137" w:rsidP="008E3DD1">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t>Ihr Profil:</w:t>
      </w:r>
    </w:p>
    <w:p w14:paraId="5F5D0FE1" w14:textId="77777777" w:rsidR="00945820" w:rsidRPr="00945820" w:rsidRDefault="00945820" w:rsidP="00945820">
      <w:pPr>
        <w:pStyle w:val="Listenabsatz"/>
        <w:numPr>
          <w:ilvl w:val="0"/>
          <w:numId w:val="14"/>
        </w:numPr>
        <w:spacing w:line="240" w:lineRule="auto"/>
        <w:rPr>
          <w:rFonts w:ascii="Rotis Sans Serif Std" w:hAnsi="Rotis Sans Serif Std"/>
          <w:color w:val="auto"/>
          <w:sz w:val="20"/>
          <w:szCs w:val="20"/>
        </w:rPr>
      </w:pPr>
      <w:r w:rsidRPr="00945820">
        <w:rPr>
          <w:rFonts w:ascii="Rotis Sans Serif Std" w:hAnsi="Rotis Sans Serif Std"/>
          <w:color w:val="auto"/>
          <w:sz w:val="20"/>
          <w:szCs w:val="20"/>
        </w:rPr>
        <w:t>Abgeschlossenes Studium im Bereich Betriebswirtschaft, Wirtschaftsingenieurwesen oder vergleichbare Qualifikation</w:t>
      </w:r>
    </w:p>
    <w:p w14:paraId="10371B96" w14:textId="77777777" w:rsidR="00945820" w:rsidRPr="00945820" w:rsidRDefault="00945820" w:rsidP="00945820">
      <w:pPr>
        <w:pStyle w:val="Listenabsatz"/>
        <w:numPr>
          <w:ilvl w:val="0"/>
          <w:numId w:val="14"/>
        </w:numPr>
        <w:spacing w:line="240" w:lineRule="auto"/>
        <w:rPr>
          <w:rFonts w:ascii="Rotis Sans Serif Std" w:hAnsi="Rotis Sans Serif Std"/>
          <w:color w:val="auto"/>
          <w:sz w:val="20"/>
          <w:szCs w:val="20"/>
        </w:rPr>
      </w:pPr>
      <w:r w:rsidRPr="00945820">
        <w:rPr>
          <w:rFonts w:ascii="Rotis Sans Serif Std" w:hAnsi="Rotis Sans Serif Std"/>
          <w:color w:val="auto"/>
          <w:sz w:val="20"/>
          <w:szCs w:val="20"/>
        </w:rPr>
        <w:t xml:space="preserve">Mehrjährige Berufserfahrung im Bereich Outsourcing und </w:t>
      </w:r>
      <w:proofErr w:type="spellStart"/>
      <w:r w:rsidRPr="00945820">
        <w:rPr>
          <w:rFonts w:ascii="Rotis Sans Serif Std" w:hAnsi="Rotis Sans Serif Std"/>
          <w:color w:val="auto"/>
          <w:sz w:val="20"/>
          <w:szCs w:val="20"/>
        </w:rPr>
        <w:t>Procurement</w:t>
      </w:r>
      <w:proofErr w:type="spellEnd"/>
      <w:r w:rsidRPr="00945820">
        <w:rPr>
          <w:rFonts w:ascii="Rotis Sans Serif Std" w:hAnsi="Rotis Sans Serif Std"/>
          <w:color w:val="auto"/>
          <w:sz w:val="20"/>
          <w:szCs w:val="20"/>
        </w:rPr>
        <w:t xml:space="preserve"> im Umfeld der regulierten Finanzindustrie wünschenswert</w:t>
      </w:r>
    </w:p>
    <w:p w14:paraId="2D29FA1F" w14:textId="77777777" w:rsidR="00945820" w:rsidRPr="00945820" w:rsidRDefault="00945820" w:rsidP="00945820">
      <w:pPr>
        <w:pStyle w:val="Listenabsatz"/>
        <w:numPr>
          <w:ilvl w:val="0"/>
          <w:numId w:val="14"/>
        </w:numPr>
        <w:spacing w:line="240" w:lineRule="auto"/>
        <w:rPr>
          <w:rFonts w:ascii="Rotis Sans Serif Std" w:hAnsi="Rotis Sans Serif Std"/>
          <w:color w:val="auto"/>
          <w:sz w:val="20"/>
          <w:szCs w:val="20"/>
        </w:rPr>
      </w:pPr>
      <w:r w:rsidRPr="00945820">
        <w:rPr>
          <w:rFonts w:ascii="Rotis Sans Serif Std" w:hAnsi="Rotis Sans Serif Std"/>
          <w:color w:val="auto"/>
          <w:sz w:val="20"/>
          <w:szCs w:val="20"/>
        </w:rPr>
        <w:lastRenderedPageBreak/>
        <w:t xml:space="preserve">Erfahrung im internationalen </w:t>
      </w:r>
      <w:proofErr w:type="spellStart"/>
      <w:r w:rsidRPr="00945820">
        <w:rPr>
          <w:rFonts w:ascii="Rotis Sans Serif Std" w:hAnsi="Rotis Sans Serif Std"/>
          <w:color w:val="auto"/>
          <w:sz w:val="20"/>
          <w:szCs w:val="20"/>
        </w:rPr>
        <w:t>Procurement</w:t>
      </w:r>
      <w:proofErr w:type="spellEnd"/>
      <w:r w:rsidRPr="00945820">
        <w:rPr>
          <w:rFonts w:ascii="Rotis Sans Serif Std" w:hAnsi="Rotis Sans Serif Std"/>
          <w:color w:val="auto"/>
          <w:sz w:val="20"/>
          <w:szCs w:val="20"/>
        </w:rPr>
        <w:t>-Umfeld von Vorteil</w:t>
      </w:r>
    </w:p>
    <w:p w14:paraId="3E6D4CAE" w14:textId="77777777" w:rsidR="00945820" w:rsidRPr="00945820" w:rsidRDefault="00945820" w:rsidP="00945820">
      <w:pPr>
        <w:pStyle w:val="Listenabsatz"/>
        <w:numPr>
          <w:ilvl w:val="0"/>
          <w:numId w:val="14"/>
        </w:numPr>
        <w:spacing w:line="240" w:lineRule="auto"/>
        <w:rPr>
          <w:rFonts w:ascii="Rotis Sans Serif Std" w:hAnsi="Rotis Sans Serif Std"/>
          <w:color w:val="auto"/>
          <w:sz w:val="20"/>
          <w:szCs w:val="20"/>
        </w:rPr>
      </w:pPr>
      <w:r w:rsidRPr="00945820">
        <w:rPr>
          <w:rFonts w:ascii="Rotis Sans Serif Std" w:hAnsi="Rotis Sans Serif Std"/>
          <w:color w:val="auto"/>
          <w:sz w:val="20"/>
          <w:szCs w:val="20"/>
        </w:rPr>
        <w:t xml:space="preserve">Fundierte Kenntnisse in Vertragsrecht, Lieferantenmanagement und Supplier-Risikomanagement </w:t>
      </w:r>
    </w:p>
    <w:p w14:paraId="02238BC0" w14:textId="77777777" w:rsidR="00945820" w:rsidRPr="00945820" w:rsidRDefault="00945820" w:rsidP="00945820">
      <w:pPr>
        <w:pStyle w:val="Listenabsatz"/>
        <w:numPr>
          <w:ilvl w:val="0"/>
          <w:numId w:val="14"/>
        </w:numPr>
        <w:spacing w:line="240" w:lineRule="auto"/>
        <w:rPr>
          <w:rFonts w:ascii="Rotis Sans Serif Std" w:hAnsi="Rotis Sans Serif Std"/>
          <w:color w:val="auto"/>
          <w:sz w:val="20"/>
          <w:szCs w:val="20"/>
        </w:rPr>
      </w:pPr>
      <w:r w:rsidRPr="00945820">
        <w:rPr>
          <w:rFonts w:ascii="Rotis Sans Serif Std" w:hAnsi="Rotis Sans Serif Std"/>
          <w:color w:val="auto"/>
          <w:sz w:val="20"/>
          <w:szCs w:val="20"/>
        </w:rPr>
        <w:t>Sehr gute Verhandlungs- und Kommunikationsfähigkeiten sowie ausgeprägte analytische Fähigkeiten</w:t>
      </w:r>
    </w:p>
    <w:p w14:paraId="28B504BE" w14:textId="77777777" w:rsidR="00945820" w:rsidRPr="00945820" w:rsidRDefault="00945820" w:rsidP="00945820">
      <w:pPr>
        <w:pStyle w:val="Listenabsatz"/>
        <w:numPr>
          <w:ilvl w:val="0"/>
          <w:numId w:val="14"/>
        </w:numPr>
        <w:spacing w:line="240" w:lineRule="auto"/>
        <w:rPr>
          <w:rFonts w:ascii="Rotis Sans Serif Std" w:hAnsi="Rotis Sans Serif Std"/>
          <w:color w:val="auto"/>
          <w:sz w:val="20"/>
          <w:szCs w:val="20"/>
        </w:rPr>
      </w:pPr>
      <w:r w:rsidRPr="00945820">
        <w:rPr>
          <w:rFonts w:ascii="Rotis Sans Serif Std" w:hAnsi="Rotis Sans Serif Std"/>
          <w:color w:val="auto"/>
          <w:sz w:val="20"/>
          <w:szCs w:val="20"/>
        </w:rPr>
        <w:t>Verhandlungssichere Deutsch- und Englischkenntnisse, weitere Fremdsprachen von Vorteil</w:t>
      </w:r>
    </w:p>
    <w:p w14:paraId="3D4BA25C" w14:textId="66FDC9BD" w:rsidR="00CC6CF1" w:rsidRPr="00945820" w:rsidRDefault="00945820" w:rsidP="00945820">
      <w:pPr>
        <w:pStyle w:val="Listenabsatz"/>
        <w:numPr>
          <w:ilvl w:val="0"/>
          <w:numId w:val="14"/>
        </w:numPr>
        <w:spacing w:line="240" w:lineRule="auto"/>
        <w:rPr>
          <w:rFonts w:ascii="Rotis Sans Serif Std" w:hAnsi="Rotis Sans Serif Std"/>
          <w:color w:val="auto"/>
          <w:sz w:val="20"/>
          <w:szCs w:val="20"/>
        </w:rPr>
      </w:pPr>
      <w:r w:rsidRPr="00945820">
        <w:rPr>
          <w:rFonts w:ascii="Rotis Sans Serif Std" w:hAnsi="Rotis Sans Serif Std"/>
          <w:color w:val="auto"/>
          <w:sz w:val="20"/>
          <w:szCs w:val="20"/>
        </w:rPr>
        <w:t>Selbstständige, strukturierte und lösungsorientierte Arbeitsweise</w:t>
      </w:r>
    </w:p>
    <w:p w14:paraId="55228629" w14:textId="44043578" w:rsidR="006C5137" w:rsidRPr="001D69E3" w:rsidRDefault="006C5137" w:rsidP="006C5137">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t>Wir bieten Ihnen:</w:t>
      </w:r>
    </w:p>
    <w:p w14:paraId="185E1C81" w14:textId="77777777" w:rsidR="00CC6CF1"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Eine spannende Position mit hoher Eigenverantwortung und Gestaltungsspielraum</w:t>
      </w:r>
    </w:p>
    <w:p w14:paraId="2213962C" w14:textId="4155EC7C" w:rsidR="00CC6CF1" w:rsidRPr="00CC6CF1" w:rsidRDefault="00CC6CF1" w:rsidP="00CC6CF1">
      <w:pPr>
        <w:numPr>
          <w:ilvl w:val="0"/>
          <w:numId w:val="15"/>
        </w:numPr>
        <w:spacing w:after="0" w:line="240" w:lineRule="auto"/>
        <w:ind w:left="714" w:hanging="357"/>
        <w:rPr>
          <w:rFonts w:ascii="Rotis Sans Serif Std" w:hAnsi="Rotis Sans Serif Std"/>
          <w:color w:val="auto"/>
          <w:sz w:val="20"/>
          <w:szCs w:val="20"/>
        </w:rPr>
      </w:pPr>
      <w:r w:rsidRPr="00CC6CF1">
        <w:rPr>
          <w:rFonts w:ascii="Rotis Sans Serif Std" w:hAnsi="Rotis Sans Serif Std"/>
          <w:color w:val="auto"/>
          <w:sz w:val="20"/>
          <w:szCs w:val="20"/>
        </w:rPr>
        <w:t>Eine langfristige berufliche Perspektive in einem internationalen Umfeld</w:t>
      </w:r>
    </w:p>
    <w:p w14:paraId="7974F16E" w14:textId="0F305DB5" w:rsidR="00CC6CF1" w:rsidRPr="00CC6CF1" w:rsidRDefault="00CC6CF1" w:rsidP="00CC6CF1">
      <w:pPr>
        <w:pStyle w:val="Listenabsatz"/>
        <w:numPr>
          <w:ilvl w:val="0"/>
          <w:numId w:val="15"/>
        </w:numPr>
        <w:spacing w:after="0" w:line="240" w:lineRule="auto"/>
        <w:ind w:left="714" w:hanging="357"/>
        <w:rPr>
          <w:rFonts w:ascii="Rotis Sans Serif Std" w:hAnsi="Rotis Sans Serif Std"/>
          <w:color w:val="auto"/>
          <w:sz w:val="20"/>
          <w:szCs w:val="20"/>
        </w:rPr>
      </w:pPr>
      <w:r w:rsidRPr="00CC6CF1">
        <w:rPr>
          <w:rFonts w:ascii="Rotis Sans Serif Std" w:hAnsi="Rotis Sans Serif Std"/>
          <w:color w:val="auto"/>
          <w:sz w:val="20"/>
          <w:szCs w:val="20"/>
        </w:rPr>
        <w:t>Potenzialorientierte Entwicklungsmöglichkeiten</w:t>
      </w:r>
    </w:p>
    <w:p w14:paraId="1FD3F967" w14:textId="3365FD01" w:rsidR="00CC6CF1" w:rsidRPr="001D69E3"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t>30 Tage Urlaub</w:t>
      </w:r>
    </w:p>
    <w:p w14:paraId="19467BEB" w14:textId="1F454DFA" w:rsidR="006C5137"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Option auf</w:t>
      </w:r>
      <w:r w:rsidR="00CC6CF1">
        <w:rPr>
          <w:rFonts w:ascii="Rotis Sans Serif Std" w:hAnsi="Rotis Sans Serif Std"/>
          <w:color w:val="auto"/>
          <w:sz w:val="20"/>
          <w:szCs w:val="20"/>
        </w:rPr>
        <w:t xml:space="preserve"> Gleitzeit und</w:t>
      </w:r>
      <w:r w:rsidRPr="001D69E3">
        <w:rPr>
          <w:rFonts w:ascii="Rotis Sans Serif Std" w:hAnsi="Rotis Sans Serif Std"/>
          <w:color w:val="auto"/>
          <w:sz w:val="20"/>
          <w:szCs w:val="20"/>
        </w:rPr>
        <w:t xml:space="preserve"> mobiles Arbeiten</w:t>
      </w:r>
    </w:p>
    <w:p w14:paraId="5E935F22" w14:textId="768C0886" w:rsidR="00CC6CF1"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t>Betriebliche Altersvorsorge-Pakete</w:t>
      </w:r>
    </w:p>
    <w:p w14:paraId="1AAFF6B0" w14:textId="1F05D24C" w:rsidR="00CC6CF1" w:rsidRPr="001D69E3"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t>Regelmäßige Firmenevents</w:t>
      </w:r>
    </w:p>
    <w:p w14:paraId="22DB67C0" w14:textId="28B7027F" w:rsidR="006C5137"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Ein angenehmes Arbeitsumfeld in einem motivierten Team</w:t>
      </w:r>
    </w:p>
    <w:p w14:paraId="4E0718F4" w14:textId="77777777" w:rsidR="00CC6CF1" w:rsidRDefault="00CC6CF1" w:rsidP="006C5137">
      <w:pPr>
        <w:spacing w:line="240" w:lineRule="auto"/>
        <w:rPr>
          <w:rFonts w:ascii="Rotis Sans Serif Std" w:hAnsi="Rotis Sans Serif Std"/>
          <w:b/>
          <w:bCs/>
          <w:color w:val="auto"/>
          <w:sz w:val="20"/>
          <w:szCs w:val="20"/>
        </w:rPr>
      </w:pPr>
    </w:p>
    <w:p w14:paraId="175582CA" w14:textId="4687424B" w:rsidR="00CC6CF1" w:rsidRDefault="006C5137" w:rsidP="006C5137">
      <w:pPr>
        <w:spacing w:line="240" w:lineRule="auto"/>
        <w:rPr>
          <w:rFonts w:ascii="Rotis Sans Serif Std" w:hAnsi="Rotis Sans Serif Std"/>
          <w:b/>
          <w:bCs/>
          <w:color w:val="auto"/>
          <w:sz w:val="20"/>
          <w:szCs w:val="20"/>
        </w:rPr>
      </w:pPr>
      <w:r w:rsidRPr="006C5137">
        <w:rPr>
          <w:rFonts w:ascii="Rotis Sans Serif Std" w:hAnsi="Rotis Sans Serif Std"/>
          <w:b/>
          <w:bCs/>
          <w:color w:val="auto"/>
          <w:sz w:val="20"/>
          <w:szCs w:val="20"/>
        </w:rPr>
        <w:t>Bewerbung:</w:t>
      </w:r>
    </w:p>
    <w:p w14:paraId="20E1B38F" w14:textId="0DB23F82" w:rsidR="00CC6CF1" w:rsidRDefault="006C5137" w:rsidP="00CC6CF1">
      <w:pPr>
        <w:spacing w:line="240" w:lineRule="auto"/>
        <w:rPr>
          <w:rFonts w:ascii="Rotis Sans Serif Std" w:hAnsi="Rotis Sans Serif Std"/>
          <w:b/>
          <w:bCs/>
          <w:color w:val="auto"/>
          <w:sz w:val="20"/>
          <w:szCs w:val="20"/>
        </w:rPr>
      </w:pPr>
      <w:r w:rsidRPr="006C5137">
        <w:rPr>
          <w:rFonts w:ascii="Rotis Sans Serif Std" w:hAnsi="Rotis Sans Serif Std"/>
          <w:color w:val="auto"/>
          <w:sz w:val="20"/>
          <w:szCs w:val="20"/>
        </w:rPr>
        <w:t xml:space="preserve">Bitte senden Sie Ihre vollständigen Bewerbungsunterlagen, inklusive Ihrer Gehaltsvorstellung und Ihres frühestmöglichen Eintrittstermins, </w:t>
      </w:r>
      <w:r w:rsidRPr="00CC6CF1">
        <w:rPr>
          <w:rFonts w:ascii="Rotis Sans Serif Std" w:hAnsi="Rotis Sans Serif Std"/>
          <w:color w:val="auto"/>
          <w:sz w:val="20"/>
          <w:szCs w:val="20"/>
        </w:rPr>
        <w:t xml:space="preserve">an </w:t>
      </w:r>
      <w:hyperlink r:id="rId9" w:history="1">
        <w:r w:rsidR="00CC6CF1" w:rsidRPr="00CC6CF1">
          <w:rPr>
            <w:rStyle w:val="Hyperlink"/>
            <w:rFonts w:asciiTheme="minorHAnsi" w:hAnsiTheme="minorHAnsi" w:cstheme="minorHAnsi"/>
            <w:color w:val="auto"/>
            <w:sz w:val="20"/>
            <w:szCs w:val="20"/>
            <w:u w:val="none"/>
          </w:rPr>
          <w:t>personal@deutsche-finance.de</w:t>
        </w:r>
      </w:hyperlink>
      <w:r w:rsidR="00CC6CF1" w:rsidRPr="00CC6CF1">
        <w:rPr>
          <w:rFonts w:asciiTheme="minorHAnsi" w:hAnsiTheme="minorHAnsi" w:cstheme="minorHAnsi"/>
          <w:color w:val="auto"/>
          <w:sz w:val="20"/>
          <w:szCs w:val="20"/>
        </w:rPr>
        <w:t xml:space="preserve">. </w:t>
      </w:r>
      <w:r w:rsidRPr="006C5137">
        <w:rPr>
          <w:rFonts w:ascii="Rotis Sans Serif Std" w:hAnsi="Rotis Sans Serif Std"/>
          <w:color w:val="auto"/>
          <w:sz w:val="20"/>
          <w:szCs w:val="20"/>
        </w:rPr>
        <w:t>Bei Fragen wenden Sie sich gerne an</w:t>
      </w:r>
      <w:r w:rsidR="00CC6CF1">
        <w:rPr>
          <w:rFonts w:ascii="Rotis Sans Serif Std" w:hAnsi="Rotis Sans Serif Std"/>
          <w:color w:val="auto"/>
          <w:sz w:val="20"/>
          <w:szCs w:val="20"/>
        </w:rPr>
        <w:t>:</w:t>
      </w:r>
    </w:p>
    <w:p w14:paraId="159929C8" w14:textId="77777777" w:rsidR="00CC6CF1" w:rsidRPr="00CC6CF1" w:rsidRDefault="00CC6CF1" w:rsidP="00CC6CF1">
      <w:pPr>
        <w:spacing w:line="240" w:lineRule="auto"/>
        <w:rPr>
          <w:rFonts w:ascii="Rotis Sans Serif Std" w:hAnsi="Rotis Sans Serif Std"/>
          <w:b/>
          <w:bCs/>
          <w:color w:val="auto"/>
          <w:sz w:val="20"/>
          <w:szCs w:val="20"/>
        </w:rPr>
      </w:pPr>
    </w:p>
    <w:p w14:paraId="69CC40C5" w14:textId="4F5C5FCB" w:rsidR="00DE6D6C" w:rsidRDefault="00DE6D6C" w:rsidP="00DE6D6C">
      <w:pPr>
        <w:spacing w:line="240" w:lineRule="auto"/>
        <w:rPr>
          <w:rFonts w:asciiTheme="minorHAnsi" w:hAnsiTheme="minorHAnsi" w:cstheme="minorHAnsi"/>
          <w:color w:val="auto"/>
          <w:sz w:val="20"/>
          <w:szCs w:val="20"/>
        </w:rPr>
      </w:pPr>
      <w:r w:rsidRPr="00DF2160">
        <w:rPr>
          <w:rFonts w:asciiTheme="minorHAnsi" w:hAnsiTheme="minorHAnsi" w:cstheme="minorHAnsi"/>
          <w:b/>
          <w:sz w:val="20"/>
          <w:szCs w:val="20"/>
        </w:rPr>
        <w:t>Deutsche Finance Group</w:t>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Pr>
          <w:rFonts w:asciiTheme="minorHAnsi" w:hAnsiTheme="minorHAnsi" w:cstheme="minorHAnsi"/>
          <w:b/>
          <w:sz w:val="20"/>
          <w:szCs w:val="20"/>
        </w:rPr>
        <w:tab/>
      </w:r>
      <w:r w:rsidRPr="00DF2160">
        <w:rPr>
          <w:rFonts w:asciiTheme="minorHAnsi" w:hAnsiTheme="minorHAnsi" w:cstheme="minorHAnsi"/>
          <w:sz w:val="20"/>
          <w:szCs w:val="20"/>
        </w:rPr>
        <w:t>Weitere Informationen zur</w:t>
      </w:r>
      <w:r w:rsidRPr="00DF2160">
        <w:rPr>
          <w:rFonts w:asciiTheme="minorHAnsi" w:hAnsiTheme="minorHAnsi" w:cstheme="minorHAnsi"/>
          <w:sz w:val="20"/>
          <w:szCs w:val="20"/>
        </w:rPr>
        <w:br/>
      </w:r>
      <w:r>
        <w:rPr>
          <w:rFonts w:asciiTheme="minorHAnsi" w:hAnsiTheme="minorHAnsi" w:cstheme="minorHAnsi"/>
          <w:sz w:val="20"/>
          <w:szCs w:val="20"/>
        </w:rPr>
        <w:t>Katharina Litke</w:t>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b/>
          <w:sz w:val="20"/>
          <w:szCs w:val="20"/>
        </w:rPr>
        <w:t>Deutsche Finance Group</w:t>
      </w:r>
      <w:r w:rsidRPr="00DF2160">
        <w:rPr>
          <w:rFonts w:asciiTheme="minorHAnsi" w:hAnsiTheme="minorHAnsi" w:cstheme="minorHAnsi"/>
          <w:sz w:val="20"/>
          <w:szCs w:val="20"/>
        </w:rPr>
        <w:br/>
      </w:r>
      <w:r w:rsidR="00DD5567">
        <w:rPr>
          <w:rFonts w:asciiTheme="minorHAnsi" w:hAnsiTheme="minorHAnsi" w:cstheme="minorHAnsi"/>
          <w:color w:val="auto"/>
          <w:sz w:val="20"/>
          <w:szCs w:val="20"/>
        </w:rPr>
        <w:t>Hansastraße 29</w:t>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00DD5567">
        <w:rPr>
          <w:rFonts w:asciiTheme="minorHAnsi" w:hAnsiTheme="minorHAnsi" w:cstheme="minorHAnsi"/>
          <w:color w:val="auto"/>
          <w:sz w:val="20"/>
          <w:szCs w:val="20"/>
        </w:rPr>
        <w:tab/>
      </w:r>
      <w:r w:rsidRPr="00DF2160">
        <w:rPr>
          <w:rFonts w:asciiTheme="minorHAnsi" w:hAnsiTheme="minorHAnsi" w:cstheme="minorHAnsi"/>
          <w:color w:val="auto"/>
          <w:sz w:val="20"/>
          <w:szCs w:val="20"/>
        </w:rPr>
        <w:t>finden Sie hier:</w:t>
      </w:r>
      <w:r w:rsidRPr="00DF2160">
        <w:rPr>
          <w:rFonts w:asciiTheme="minorHAnsi" w:hAnsiTheme="minorHAnsi" w:cstheme="minorHAnsi"/>
          <w:color w:val="auto"/>
          <w:sz w:val="20"/>
          <w:szCs w:val="20"/>
        </w:rPr>
        <w:br/>
        <w:t>D-8</w:t>
      </w:r>
      <w:r w:rsidR="00DD5567">
        <w:rPr>
          <w:rFonts w:asciiTheme="minorHAnsi" w:hAnsiTheme="minorHAnsi" w:cstheme="minorHAnsi"/>
          <w:color w:val="auto"/>
          <w:sz w:val="20"/>
          <w:szCs w:val="20"/>
        </w:rPr>
        <w:t xml:space="preserve">1373 </w:t>
      </w:r>
      <w:r w:rsidRPr="00DF2160">
        <w:rPr>
          <w:rFonts w:asciiTheme="minorHAnsi" w:hAnsiTheme="minorHAnsi" w:cstheme="minorHAnsi"/>
          <w:color w:val="auto"/>
          <w:sz w:val="20"/>
          <w:szCs w:val="20"/>
        </w:rPr>
        <w:t>München</w:t>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br/>
        <w:t>personal@deutsche-finance.de</w:t>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t>www.deutsche-finance-</w:t>
      </w:r>
      <w:r>
        <w:rPr>
          <w:rFonts w:asciiTheme="minorHAnsi" w:hAnsiTheme="minorHAnsi" w:cstheme="minorHAnsi"/>
          <w:color w:val="auto"/>
          <w:sz w:val="20"/>
          <w:szCs w:val="20"/>
        </w:rPr>
        <w:t>group</w:t>
      </w:r>
      <w:r w:rsidRPr="00DF2160">
        <w:rPr>
          <w:rFonts w:asciiTheme="minorHAnsi" w:hAnsiTheme="minorHAnsi" w:cstheme="minorHAnsi"/>
          <w:color w:val="auto"/>
          <w:sz w:val="20"/>
          <w:szCs w:val="20"/>
        </w:rPr>
        <w:t>.de</w:t>
      </w:r>
    </w:p>
    <w:p w14:paraId="72AE4856" w14:textId="77777777" w:rsidR="00CC6CF1" w:rsidRDefault="00CC6CF1" w:rsidP="00097A8E">
      <w:pPr>
        <w:spacing w:line="240" w:lineRule="auto"/>
        <w:rPr>
          <w:rFonts w:ascii="Rotis Sans Serif Std" w:hAnsi="Rotis Sans Serif Std"/>
          <w:color w:val="auto"/>
          <w:sz w:val="20"/>
          <w:szCs w:val="20"/>
        </w:rPr>
      </w:pPr>
    </w:p>
    <w:p w14:paraId="50CA55A3" w14:textId="7D443B75" w:rsidR="00CC6CF1" w:rsidRPr="000C03CA" w:rsidRDefault="00CC6CF1" w:rsidP="00097A8E">
      <w:pPr>
        <w:spacing w:line="240" w:lineRule="auto"/>
        <w:rPr>
          <w:rFonts w:ascii="Rotis Sans Serif Std" w:hAnsi="Rotis Sans Serif Std"/>
          <w:color w:val="auto"/>
          <w:sz w:val="20"/>
          <w:szCs w:val="20"/>
        </w:rPr>
      </w:pPr>
      <w:r w:rsidRPr="006C5137">
        <w:rPr>
          <w:rFonts w:ascii="Rotis Sans Serif Std" w:hAnsi="Rotis Sans Serif Std"/>
          <w:color w:val="auto"/>
          <w:sz w:val="20"/>
          <w:szCs w:val="20"/>
        </w:rPr>
        <w:t>Wir freuen uns darauf, Sie kennenzulernen!</w:t>
      </w:r>
    </w:p>
    <w:sectPr w:rsidR="00CC6CF1" w:rsidRPr="000C03C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7661" w14:textId="77777777" w:rsidR="005A2F0C" w:rsidRDefault="005A2F0C">
      <w:pPr>
        <w:spacing w:after="0" w:line="240" w:lineRule="auto"/>
      </w:pPr>
    </w:p>
  </w:endnote>
  <w:endnote w:type="continuationSeparator" w:id="0">
    <w:p w14:paraId="6D9C9E9E" w14:textId="77777777" w:rsidR="005A2F0C" w:rsidRDefault="005A2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tis Sans Serif St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75AF" w14:textId="77777777" w:rsidR="00741367" w:rsidRDefault="007413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595A" w14:textId="77777777" w:rsidR="00741367" w:rsidRDefault="007413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2950" w14:textId="77777777" w:rsidR="00741367" w:rsidRDefault="007413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0330" w14:textId="77777777" w:rsidR="005A2F0C" w:rsidRDefault="005A2F0C">
      <w:pPr>
        <w:spacing w:after="0" w:line="240" w:lineRule="auto"/>
      </w:pPr>
    </w:p>
  </w:footnote>
  <w:footnote w:type="continuationSeparator" w:id="0">
    <w:p w14:paraId="751AA7FA" w14:textId="77777777" w:rsidR="005A2F0C" w:rsidRDefault="005A2F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9BDC" w14:textId="77777777" w:rsidR="00741367" w:rsidRDefault="007413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A05A" w14:textId="77777777" w:rsidR="00741367" w:rsidRDefault="007413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5833" w14:textId="77777777" w:rsidR="00741367" w:rsidRDefault="007413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1F"/>
    <w:multiLevelType w:val="hybridMultilevel"/>
    <w:tmpl w:val="6B065D1E"/>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04413"/>
    <w:multiLevelType w:val="hybridMultilevel"/>
    <w:tmpl w:val="9D204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7A5E28"/>
    <w:multiLevelType w:val="multilevel"/>
    <w:tmpl w:val="D27E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F03CB"/>
    <w:multiLevelType w:val="multilevel"/>
    <w:tmpl w:val="48A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07D26"/>
    <w:multiLevelType w:val="hybridMultilevel"/>
    <w:tmpl w:val="EE0609FE"/>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82207F"/>
    <w:multiLevelType w:val="multilevel"/>
    <w:tmpl w:val="DA5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F7BF0"/>
    <w:multiLevelType w:val="multilevel"/>
    <w:tmpl w:val="E89A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80532"/>
    <w:multiLevelType w:val="hybridMultilevel"/>
    <w:tmpl w:val="16F07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6B0CD8"/>
    <w:multiLevelType w:val="multilevel"/>
    <w:tmpl w:val="F848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70D6B"/>
    <w:multiLevelType w:val="multilevel"/>
    <w:tmpl w:val="E63A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305AF"/>
    <w:multiLevelType w:val="multilevel"/>
    <w:tmpl w:val="7AA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E2590"/>
    <w:multiLevelType w:val="hybridMultilevel"/>
    <w:tmpl w:val="80361C24"/>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116521"/>
    <w:multiLevelType w:val="multilevel"/>
    <w:tmpl w:val="DFF0B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977D80"/>
    <w:multiLevelType w:val="hybridMultilevel"/>
    <w:tmpl w:val="C1F42B4C"/>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304424"/>
    <w:multiLevelType w:val="hybridMultilevel"/>
    <w:tmpl w:val="B2587AA2"/>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694A5B"/>
    <w:multiLevelType w:val="hybridMultilevel"/>
    <w:tmpl w:val="A2C6FDE4"/>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EE161D"/>
    <w:multiLevelType w:val="multilevel"/>
    <w:tmpl w:val="B8E8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B6A03"/>
    <w:multiLevelType w:val="hybridMultilevel"/>
    <w:tmpl w:val="A1DCF412"/>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705898">
    <w:abstractNumId w:val="7"/>
  </w:num>
  <w:num w:numId="2" w16cid:durableId="867064349">
    <w:abstractNumId w:val="1"/>
  </w:num>
  <w:num w:numId="3" w16cid:durableId="2018775853">
    <w:abstractNumId w:val="8"/>
  </w:num>
  <w:num w:numId="4" w16cid:durableId="1496261554">
    <w:abstractNumId w:val="2"/>
  </w:num>
  <w:num w:numId="5" w16cid:durableId="2098331920">
    <w:abstractNumId w:val="5"/>
  </w:num>
  <w:num w:numId="6" w16cid:durableId="1377585151">
    <w:abstractNumId w:val="6"/>
  </w:num>
  <w:num w:numId="7" w16cid:durableId="600188304">
    <w:abstractNumId w:val="3"/>
  </w:num>
  <w:num w:numId="8" w16cid:durableId="320432657">
    <w:abstractNumId w:val="12"/>
  </w:num>
  <w:num w:numId="9" w16cid:durableId="44261747">
    <w:abstractNumId w:val="9"/>
  </w:num>
  <w:num w:numId="10" w16cid:durableId="1943368342">
    <w:abstractNumId w:val="10"/>
  </w:num>
  <w:num w:numId="11" w16cid:durableId="1228229329">
    <w:abstractNumId w:val="17"/>
  </w:num>
  <w:num w:numId="12" w16cid:durableId="1996835323">
    <w:abstractNumId w:val="11"/>
  </w:num>
  <w:num w:numId="13" w16cid:durableId="160004813">
    <w:abstractNumId w:val="13"/>
  </w:num>
  <w:num w:numId="14" w16cid:durableId="1584677217">
    <w:abstractNumId w:val="15"/>
  </w:num>
  <w:num w:numId="15" w16cid:durableId="478888229">
    <w:abstractNumId w:val="16"/>
  </w:num>
  <w:num w:numId="16" w16cid:durableId="1740980885">
    <w:abstractNumId w:val="0"/>
  </w:num>
  <w:num w:numId="17" w16cid:durableId="1957709482">
    <w:abstractNumId w:val="4"/>
  </w:num>
  <w:num w:numId="18" w16cid:durableId="635570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3B"/>
    <w:rsid w:val="00005585"/>
    <w:rsid w:val="000358C7"/>
    <w:rsid w:val="0003704B"/>
    <w:rsid w:val="000563F7"/>
    <w:rsid w:val="00075814"/>
    <w:rsid w:val="00086A24"/>
    <w:rsid w:val="000878E3"/>
    <w:rsid w:val="00092365"/>
    <w:rsid w:val="00097A8E"/>
    <w:rsid w:val="000B0204"/>
    <w:rsid w:val="000C03CA"/>
    <w:rsid w:val="000C3EA9"/>
    <w:rsid w:val="000C5834"/>
    <w:rsid w:val="000D10E8"/>
    <w:rsid w:val="000D3685"/>
    <w:rsid w:val="000E47A8"/>
    <w:rsid w:val="000E729B"/>
    <w:rsid w:val="000F72AB"/>
    <w:rsid w:val="00101354"/>
    <w:rsid w:val="00126E75"/>
    <w:rsid w:val="001433BD"/>
    <w:rsid w:val="00160EBD"/>
    <w:rsid w:val="00161A4D"/>
    <w:rsid w:val="0016317F"/>
    <w:rsid w:val="001C07E3"/>
    <w:rsid w:val="001D5F40"/>
    <w:rsid w:val="001D69E3"/>
    <w:rsid w:val="001F438C"/>
    <w:rsid w:val="0021371E"/>
    <w:rsid w:val="002162FA"/>
    <w:rsid w:val="0022183A"/>
    <w:rsid w:val="00227698"/>
    <w:rsid w:val="00234A7A"/>
    <w:rsid w:val="00245431"/>
    <w:rsid w:val="00260C9A"/>
    <w:rsid w:val="00260DA9"/>
    <w:rsid w:val="002962CB"/>
    <w:rsid w:val="002B4F2D"/>
    <w:rsid w:val="002C4AE9"/>
    <w:rsid w:val="002C7032"/>
    <w:rsid w:val="002D34D4"/>
    <w:rsid w:val="00312F80"/>
    <w:rsid w:val="00330C7F"/>
    <w:rsid w:val="003408C4"/>
    <w:rsid w:val="00341736"/>
    <w:rsid w:val="0034239A"/>
    <w:rsid w:val="00346BDF"/>
    <w:rsid w:val="00383E86"/>
    <w:rsid w:val="00393165"/>
    <w:rsid w:val="003B301F"/>
    <w:rsid w:val="003F4B52"/>
    <w:rsid w:val="003F6F52"/>
    <w:rsid w:val="004167A9"/>
    <w:rsid w:val="0042467F"/>
    <w:rsid w:val="00432B3B"/>
    <w:rsid w:val="004562F0"/>
    <w:rsid w:val="0045733A"/>
    <w:rsid w:val="00470CD2"/>
    <w:rsid w:val="00484350"/>
    <w:rsid w:val="004905B0"/>
    <w:rsid w:val="004C54B3"/>
    <w:rsid w:val="004D378F"/>
    <w:rsid w:val="004E6A4C"/>
    <w:rsid w:val="004F0C7A"/>
    <w:rsid w:val="004F6B59"/>
    <w:rsid w:val="00504A42"/>
    <w:rsid w:val="00506DA4"/>
    <w:rsid w:val="005275D2"/>
    <w:rsid w:val="00540779"/>
    <w:rsid w:val="00563CF7"/>
    <w:rsid w:val="005828CE"/>
    <w:rsid w:val="005839E5"/>
    <w:rsid w:val="00590AB6"/>
    <w:rsid w:val="005A2F0C"/>
    <w:rsid w:val="005B01C1"/>
    <w:rsid w:val="005B36C6"/>
    <w:rsid w:val="005E535F"/>
    <w:rsid w:val="005F1B40"/>
    <w:rsid w:val="005F746F"/>
    <w:rsid w:val="00610595"/>
    <w:rsid w:val="00625A85"/>
    <w:rsid w:val="00633668"/>
    <w:rsid w:val="00671E5F"/>
    <w:rsid w:val="00672496"/>
    <w:rsid w:val="006A4D01"/>
    <w:rsid w:val="006A5CD7"/>
    <w:rsid w:val="006C5137"/>
    <w:rsid w:val="006D1369"/>
    <w:rsid w:val="006E1A39"/>
    <w:rsid w:val="006F1EAE"/>
    <w:rsid w:val="006F4FC5"/>
    <w:rsid w:val="00713B8F"/>
    <w:rsid w:val="00727BB5"/>
    <w:rsid w:val="00741367"/>
    <w:rsid w:val="00764B12"/>
    <w:rsid w:val="00781833"/>
    <w:rsid w:val="00785D14"/>
    <w:rsid w:val="007871EB"/>
    <w:rsid w:val="0079298B"/>
    <w:rsid w:val="007D16D1"/>
    <w:rsid w:val="007D266D"/>
    <w:rsid w:val="007D3ADE"/>
    <w:rsid w:val="007E3FBD"/>
    <w:rsid w:val="007E7C6C"/>
    <w:rsid w:val="007F7FBA"/>
    <w:rsid w:val="00801E06"/>
    <w:rsid w:val="00805B48"/>
    <w:rsid w:val="008220F5"/>
    <w:rsid w:val="0085615B"/>
    <w:rsid w:val="00867E20"/>
    <w:rsid w:val="008A47B7"/>
    <w:rsid w:val="008A4957"/>
    <w:rsid w:val="008B1B51"/>
    <w:rsid w:val="008C05DF"/>
    <w:rsid w:val="008C3FAF"/>
    <w:rsid w:val="008D632F"/>
    <w:rsid w:val="008E3DD1"/>
    <w:rsid w:val="00910A07"/>
    <w:rsid w:val="00920C0A"/>
    <w:rsid w:val="00934DE4"/>
    <w:rsid w:val="00945820"/>
    <w:rsid w:val="0095708A"/>
    <w:rsid w:val="00964EE8"/>
    <w:rsid w:val="00965A6B"/>
    <w:rsid w:val="00971922"/>
    <w:rsid w:val="009944B9"/>
    <w:rsid w:val="009C304B"/>
    <w:rsid w:val="009D573B"/>
    <w:rsid w:val="009F09E8"/>
    <w:rsid w:val="00A02DB2"/>
    <w:rsid w:val="00A2750A"/>
    <w:rsid w:val="00A4240D"/>
    <w:rsid w:val="00A73BAD"/>
    <w:rsid w:val="00A90206"/>
    <w:rsid w:val="00AA431C"/>
    <w:rsid w:val="00AF1397"/>
    <w:rsid w:val="00B27F2A"/>
    <w:rsid w:val="00B6350F"/>
    <w:rsid w:val="00B708C6"/>
    <w:rsid w:val="00B71D19"/>
    <w:rsid w:val="00B751C3"/>
    <w:rsid w:val="00B94389"/>
    <w:rsid w:val="00B94644"/>
    <w:rsid w:val="00B94D8C"/>
    <w:rsid w:val="00BC60B0"/>
    <w:rsid w:val="00BD277C"/>
    <w:rsid w:val="00BF033F"/>
    <w:rsid w:val="00BF12B1"/>
    <w:rsid w:val="00BF3866"/>
    <w:rsid w:val="00BF49A6"/>
    <w:rsid w:val="00C1254E"/>
    <w:rsid w:val="00C13555"/>
    <w:rsid w:val="00C16FC7"/>
    <w:rsid w:val="00C23F49"/>
    <w:rsid w:val="00C42366"/>
    <w:rsid w:val="00C467F8"/>
    <w:rsid w:val="00C675F6"/>
    <w:rsid w:val="00CB54F9"/>
    <w:rsid w:val="00CB6BFE"/>
    <w:rsid w:val="00CC6CF1"/>
    <w:rsid w:val="00CC7429"/>
    <w:rsid w:val="00CF1AC7"/>
    <w:rsid w:val="00D05B21"/>
    <w:rsid w:val="00D0629C"/>
    <w:rsid w:val="00D1297B"/>
    <w:rsid w:val="00D17070"/>
    <w:rsid w:val="00D20991"/>
    <w:rsid w:val="00D2438E"/>
    <w:rsid w:val="00D31CA7"/>
    <w:rsid w:val="00D370A3"/>
    <w:rsid w:val="00D377E4"/>
    <w:rsid w:val="00D86A5B"/>
    <w:rsid w:val="00DA3F59"/>
    <w:rsid w:val="00DC2ABA"/>
    <w:rsid w:val="00DD5567"/>
    <w:rsid w:val="00DE2A13"/>
    <w:rsid w:val="00DE6D6C"/>
    <w:rsid w:val="00DF5DB8"/>
    <w:rsid w:val="00E07AC3"/>
    <w:rsid w:val="00E44A65"/>
    <w:rsid w:val="00E56706"/>
    <w:rsid w:val="00EA005B"/>
    <w:rsid w:val="00EC5BB9"/>
    <w:rsid w:val="00EF3F14"/>
    <w:rsid w:val="00EF74BE"/>
    <w:rsid w:val="00F07F23"/>
    <w:rsid w:val="00F326D8"/>
    <w:rsid w:val="00F60004"/>
    <w:rsid w:val="00F61B10"/>
    <w:rsid w:val="00F86290"/>
    <w:rsid w:val="00F96581"/>
    <w:rsid w:val="00FC6A5B"/>
    <w:rsid w:val="00FD362A"/>
    <w:rsid w:val="00FE2873"/>
    <w:rsid w:val="00FF3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838F"/>
  <w15:docId w15:val="{83CA14A8-FD06-40EC-81D7-D656938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5834"/>
    <w:pPr>
      <w:spacing w:after="180" w:line="300" w:lineRule="auto"/>
    </w:pPr>
    <w:rPr>
      <w:rFonts w:ascii="Goudy Old Style" w:eastAsia="Times New Roman" w:hAnsi="Goudy Old Style" w:cs="Times New Roman"/>
      <w:color w:val="333333"/>
      <w:kern w:val="28"/>
      <w:sz w:val="18"/>
      <w:szCs w:val="18"/>
      <w:lang w:eastAsia="de-DE"/>
      <w14:ligatures w14:val="standard"/>
      <w14:cntxtAlt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D57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573B"/>
    <w:rPr>
      <w:rFonts w:ascii="Tahoma" w:hAnsi="Tahoma" w:cs="Tahoma"/>
      <w:sz w:val="16"/>
      <w:szCs w:val="16"/>
    </w:rPr>
  </w:style>
  <w:style w:type="paragraph" w:styleId="Listenabsatz">
    <w:name w:val="List Paragraph"/>
    <w:basedOn w:val="Standard"/>
    <w:uiPriority w:val="34"/>
    <w:qFormat/>
    <w:rsid w:val="009D573B"/>
    <w:pPr>
      <w:ind w:left="720"/>
      <w:contextualSpacing/>
    </w:pPr>
  </w:style>
  <w:style w:type="paragraph" w:styleId="Kopfzeile">
    <w:name w:val="header"/>
    <w:basedOn w:val="Standard"/>
    <w:link w:val="KopfzeileZchn"/>
    <w:uiPriority w:val="99"/>
    <w:unhideWhenUsed/>
    <w:rsid w:val="000563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63F7"/>
    <w:rPr>
      <w:rFonts w:ascii="Goudy Old Style" w:eastAsia="Times New Roman" w:hAnsi="Goudy Old Style" w:cs="Times New Roman"/>
      <w:color w:val="333333"/>
      <w:kern w:val="28"/>
      <w:sz w:val="18"/>
      <w:szCs w:val="18"/>
      <w:lang w:eastAsia="de-DE"/>
      <w14:ligatures w14:val="standard"/>
      <w14:cntxtAlts/>
    </w:rPr>
  </w:style>
  <w:style w:type="paragraph" w:styleId="Fuzeile">
    <w:name w:val="footer"/>
    <w:basedOn w:val="Standard"/>
    <w:link w:val="FuzeileZchn"/>
    <w:uiPriority w:val="99"/>
    <w:unhideWhenUsed/>
    <w:rsid w:val="000563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63F7"/>
    <w:rPr>
      <w:rFonts w:ascii="Goudy Old Style" w:eastAsia="Times New Roman" w:hAnsi="Goudy Old Style" w:cs="Times New Roman"/>
      <w:color w:val="333333"/>
      <w:kern w:val="28"/>
      <w:sz w:val="18"/>
      <w:szCs w:val="18"/>
      <w:lang w:eastAsia="de-DE"/>
      <w14:ligatures w14:val="standard"/>
      <w14:cntxtAlts/>
    </w:rPr>
  </w:style>
  <w:style w:type="character" w:styleId="Hyperlink">
    <w:name w:val="Hyperlink"/>
    <w:basedOn w:val="Absatz-Standardschriftart"/>
    <w:uiPriority w:val="99"/>
    <w:unhideWhenUsed/>
    <w:rsid w:val="00CC6CF1"/>
    <w:rPr>
      <w:color w:val="0000FF" w:themeColor="hyperlink"/>
      <w:u w:val="single"/>
    </w:rPr>
  </w:style>
  <w:style w:type="character" w:styleId="NichtaufgelsteErwhnung">
    <w:name w:val="Unresolved Mention"/>
    <w:basedOn w:val="Absatz-Standardschriftart"/>
    <w:uiPriority w:val="99"/>
    <w:semiHidden/>
    <w:unhideWhenUsed/>
    <w:rsid w:val="00CC6CF1"/>
    <w:rPr>
      <w:color w:val="605E5C"/>
      <w:shd w:val="clear" w:color="auto" w:fill="E1DFDD"/>
    </w:rPr>
  </w:style>
  <w:style w:type="paragraph" w:styleId="berarbeitung">
    <w:name w:val="Revision"/>
    <w:hidden/>
    <w:uiPriority w:val="99"/>
    <w:semiHidden/>
    <w:rsid w:val="00781833"/>
    <w:pPr>
      <w:spacing w:after="0" w:line="240" w:lineRule="auto"/>
    </w:pPr>
    <w:rPr>
      <w:rFonts w:ascii="Goudy Old Style" w:eastAsia="Times New Roman" w:hAnsi="Goudy Old Style" w:cs="Times New Roman"/>
      <w:color w:val="333333"/>
      <w:kern w:val="28"/>
      <w:sz w:val="18"/>
      <w:szCs w:val="18"/>
      <w:lang w:eastAsia="de-DE"/>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9516">
      <w:bodyDiv w:val="1"/>
      <w:marLeft w:val="0"/>
      <w:marRight w:val="0"/>
      <w:marTop w:val="0"/>
      <w:marBottom w:val="0"/>
      <w:divBdr>
        <w:top w:val="none" w:sz="0" w:space="0" w:color="auto"/>
        <w:left w:val="none" w:sz="0" w:space="0" w:color="auto"/>
        <w:bottom w:val="none" w:sz="0" w:space="0" w:color="auto"/>
        <w:right w:val="none" w:sz="0" w:space="0" w:color="auto"/>
      </w:divBdr>
    </w:div>
    <w:div w:id="245312057">
      <w:bodyDiv w:val="1"/>
      <w:marLeft w:val="0"/>
      <w:marRight w:val="0"/>
      <w:marTop w:val="0"/>
      <w:marBottom w:val="0"/>
      <w:divBdr>
        <w:top w:val="none" w:sz="0" w:space="0" w:color="auto"/>
        <w:left w:val="none" w:sz="0" w:space="0" w:color="auto"/>
        <w:bottom w:val="none" w:sz="0" w:space="0" w:color="auto"/>
        <w:right w:val="none" w:sz="0" w:space="0" w:color="auto"/>
      </w:divBdr>
    </w:div>
    <w:div w:id="339739396">
      <w:bodyDiv w:val="1"/>
      <w:marLeft w:val="0"/>
      <w:marRight w:val="0"/>
      <w:marTop w:val="0"/>
      <w:marBottom w:val="0"/>
      <w:divBdr>
        <w:top w:val="none" w:sz="0" w:space="0" w:color="auto"/>
        <w:left w:val="none" w:sz="0" w:space="0" w:color="auto"/>
        <w:bottom w:val="none" w:sz="0" w:space="0" w:color="auto"/>
        <w:right w:val="none" w:sz="0" w:space="0" w:color="auto"/>
      </w:divBdr>
    </w:div>
    <w:div w:id="418790687">
      <w:bodyDiv w:val="1"/>
      <w:marLeft w:val="0"/>
      <w:marRight w:val="0"/>
      <w:marTop w:val="0"/>
      <w:marBottom w:val="0"/>
      <w:divBdr>
        <w:top w:val="none" w:sz="0" w:space="0" w:color="auto"/>
        <w:left w:val="none" w:sz="0" w:space="0" w:color="auto"/>
        <w:bottom w:val="none" w:sz="0" w:space="0" w:color="auto"/>
        <w:right w:val="none" w:sz="0" w:space="0" w:color="auto"/>
      </w:divBdr>
    </w:div>
    <w:div w:id="501547254">
      <w:bodyDiv w:val="1"/>
      <w:marLeft w:val="0"/>
      <w:marRight w:val="0"/>
      <w:marTop w:val="0"/>
      <w:marBottom w:val="0"/>
      <w:divBdr>
        <w:top w:val="none" w:sz="0" w:space="0" w:color="auto"/>
        <w:left w:val="none" w:sz="0" w:space="0" w:color="auto"/>
        <w:bottom w:val="none" w:sz="0" w:space="0" w:color="auto"/>
        <w:right w:val="none" w:sz="0" w:space="0" w:color="auto"/>
      </w:divBdr>
    </w:div>
    <w:div w:id="642083440">
      <w:bodyDiv w:val="1"/>
      <w:marLeft w:val="0"/>
      <w:marRight w:val="0"/>
      <w:marTop w:val="0"/>
      <w:marBottom w:val="0"/>
      <w:divBdr>
        <w:top w:val="none" w:sz="0" w:space="0" w:color="auto"/>
        <w:left w:val="none" w:sz="0" w:space="0" w:color="auto"/>
        <w:bottom w:val="none" w:sz="0" w:space="0" w:color="auto"/>
        <w:right w:val="none" w:sz="0" w:space="0" w:color="auto"/>
      </w:divBdr>
    </w:div>
    <w:div w:id="679312756">
      <w:bodyDiv w:val="1"/>
      <w:marLeft w:val="0"/>
      <w:marRight w:val="0"/>
      <w:marTop w:val="0"/>
      <w:marBottom w:val="0"/>
      <w:divBdr>
        <w:top w:val="none" w:sz="0" w:space="0" w:color="auto"/>
        <w:left w:val="none" w:sz="0" w:space="0" w:color="auto"/>
        <w:bottom w:val="none" w:sz="0" w:space="0" w:color="auto"/>
        <w:right w:val="none" w:sz="0" w:space="0" w:color="auto"/>
      </w:divBdr>
    </w:div>
    <w:div w:id="689717106">
      <w:bodyDiv w:val="1"/>
      <w:marLeft w:val="0"/>
      <w:marRight w:val="0"/>
      <w:marTop w:val="0"/>
      <w:marBottom w:val="0"/>
      <w:divBdr>
        <w:top w:val="none" w:sz="0" w:space="0" w:color="auto"/>
        <w:left w:val="none" w:sz="0" w:space="0" w:color="auto"/>
        <w:bottom w:val="none" w:sz="0" w:space="0" w:color="auto"/>
        <w:right w:val="none" w:sz="0" w:space="0" w:color="auto"/>
      </w:divBdr>
    </w:div>
    <w:div w:id="820463200">
      <w:bodyDiv w:val="1"/>
      <w:marLeft w:val="0"/>
      <w:marRight w:val="0"/>
      <w:marTop w:val="0"/>
      <w:marBottom w:val="0"/>
      <w:divBdr>
        <w:top w:val="none" w:sz="0" w:space="0" w:color="auto"/>
        <w:left w:val="none" w:sz="0" w:space="0" w:color="auto"/>
        <w:bottom w:val="none" w:sz="0" w:space="0" w:color="auto"/>
        <w:right w:val="none" w:sz="0" w:space="0" w:color="auto"/>
      </w:divBdr>
    </w:div>
    <w:div w:id="859196003">
      <w:bodyDiv w:val="1"/>
      <w:marLeft w:val="0"/>
      <w:marRight w:val="0"/>
      <w:marTop w:val="0"/>
      <w:marBottom w:val="0"/>
      <w:divBdr>
        <w:top w:val="none" w:sz="0" w:space="0" w:color="auto"/>
        <w:left w:val="none" w:sz="0" w:space="0" w:color="auto"/>
        <w:bottom w:val="none" w:sz="0" w:space="0" w:color="auto"/>
        <w:right w:val="none" w:sz="0" w:space="0" w:color="auto"/>
      </w:divBdr>
    </w:div>
    <w:div w:id="902524955">
      <w:bodyDiv w:val="1"/>
      <w:marLeft w:val="0"/>
      <w:marRight w:val="0"/>
      <w:marTop w:val="0"/>
      <w:marBottom w:val="0"/>
      <w:divBdr>
        <w:top w:val="none" w:sz="0" w:space="0" w:color="auto"/>
        <w:left w:val="none" w:sz="0" w:space="0" w:color="auto"/>
        <w:bottom w:val="none" w:sz="0" w:space="0" w:color="auto"/>
        <w:right w:val="none" w:sz="0" w:space="0" w:color="auto"/>
      </w:divBdr>
    </w:div>
    <w:div w:id="1035808099">
      <w:bodyDiv w:val="1"/>
      <w:marLeft w:val="0"/>
      <w:marRight w:val="0"/>
      <w:marTop w:val="0"/>
      <w:marBottom w:val="0"/>
      <w:divBdr>
        <w:top w:val="none" w:sz="0" w:space="0" w:color="auto"/>
        <w:left w:val="none" w:sz="0" w:space="0" w:color="auto"/>
        <w:bottom w:val="none" w:sz="0" w:space="0" w:color="auto"/>
        <w:right w:val="none" w:sz="0" w:space="0" w:color="auto"/>
      </w:divBdr>
    </w:div>
    <w:div w:id="1170020897">
      <w:bodyDiv w:val="1"/>
      <w:marLeft w:val="0"/>
      <w:marRight w:val="0"/>
      <w:marTop w:val="0"/>
      <w:marBottom w:val="0"/>
      <w:divBdr>
        <w:top w:val="none" w:sz="0" w:space="0" w:color="auto"/>
        <w:left w:val="none" w:sz="0" w:space="0" w:color="auto"/>
        <w:bottom w:val="none" w:sz="0" w:space="0" w:color="auto"/>
        <w:right w:val="none" w:sz="0" w:space="0" w:color="auto"/>
      </w:divBdr>
    </w:div>
    <w:div w:id="1183279752">
      <w:bodyDiv w:val="1"/>
      <w:marLeft w:val="0"/>
      <w:marRight w:val="0"/>
      <w:marTop w:val="0"/>
      <w:marBottom w:val="0"/>
      <w:divBdr>
        <w:top w:val="none" w:sz="0" w:space="0" w:color="auto"/>
        <w:left w:val="none" w:sz="0" w:space="0" w:color="auto"/>
        <w:bottom w:val="none" w:sz="0" w:space="0" w:color="auto"/>
        <w:right w:val="none" w:sz="0" w:space="0" w:color="auto"/>
      </w:divBdr>
    </w:div>
    <w:div w:id="1206597289">
      <w:bodyDiv w:val="1"/>
      <w:marLeft w:val="0"/>
      <w:marRight w:val="0"/>
      <w:marTop w:val="0"/>
      <w:marBottom w:val="0"/>
      <w:divBdr>
        <w:top w:val="none" w:sz="0" w:space="0" w:color="auto"/>
        <w:left w:val="none" w:sz="0" w:space="0" w:color="auto"/>
        <w:bottom w:val="none" w:sz="0" w:space="0" w:color="auto"/>
        <w:right w:val="none" w:sz="0" w:space="0" w:color="auto"/>
      </w:divBdr>
    </w:div>
    <w:div w:id="1441416016">
      <w:bodyDiv w:val="1"/>
      <w:marLeft w:val="0"/>
      <w:marRight w:val="0"/>
      <w:marTop w:val="0"/>
      <w:marBottom w:val="0"/>
      <w:divBdr>
        <w:top w:val="none" w:sz="0" w:space="0" w:color="auto"/>
        <w:left w:val="none" w:sz="0" w:space="0" w:color="auto"/>
        <w:bottom w:val="none" w:sz="0" w:space="0" w:color="auto"/>
        <w:right w:val="none" w:sz="0" w:space="0" w:color="auto"/>
      </w:divBdr>
    </w:div>
    <w:div w:id="1530142589">
      <w:bodyDiv w:val="1"/>
      <w:marLeft w:val="0"/>
      <w:marRight w:val="0"/>
      <w:marTop w:val="0"/>
      <w:marBottom w:val="0"/>
      <w:divBdr>
        <w:top w:val="none" w:sz="0" w:space="0" w:color="auto"/>
        <w:left w:val="none" w:sz="0" w:space="0" w:color="auto"/>
        <w:bottom w:val="none" w:sz="0" w:space="0" w:color="auto"/>
        <w:right w:val="none" w:sz="0" w:space="0" w:color="auto"/>
      </w:divBdr>
    </w:div>
    <w:div w:id="1631278225">
      <w:bodyDiv w:val="1"/>
      <w:marLeft w:val="0"/>
      <w:marRight w:val="0"/>
      <w:marTop w:val="0"/>
      <w:marBottom w:val="0"/>
      <w:divBdr>
        <w:top w:val="none" w:sz="0" w:space="0" w:color="auto"/>
        <w:left w:val="none" w:sz="0" w:space="0" w:color="auto"/>
        <w:bottom w:val="none" w:sz="0" w:space="0" w:color="auto"/>
        <w:right w:val="none" w:sz="0" w:space="0" w:color="auto"/>
      </w:divBdr>
    </w:div>
    <w:div w:id="2087996742">
      <w:bodyDiv w:val="1"/>
      <w:marLeft w:val="0"/>
      <w:marRight w:val="0"/>
      <w:marTop w:val="0"/>
      <w:marBottom w:val="0"/>
      <w:divBdr>
        <w:top w:val="none" w:sz="0" w:space="0" w:color="auto"/>
        <w:left w:val="none" w:sz="0" w:space="0" w:color="auto"/>
        <w:bottom w:val="none" w:sz="0" w:space="0" w:color="auto"/>
        <w:right w:val="none" w:sz="0" w:space="0" w:color="auto"/>
      </w:divBdr>
    </w:div>
    <w:div w:id="2098209134">
      <w:bodyDiv w:val="1"/>
      <w:marLeft w:val="0"/>
      <w:marRight w:val="0"/>
      <w:marTop w:val="0"/>
      <w:marBottom w:val="0"/>
      <w:divBdr>
        <w:top w:val="none" w:sz="0" w:space="0" w:color="auto"/>
        <w:left w:val="none" w:sz="0" w:space="0" w:color="auto"/>
        <w:bottom w:val="none" w:sz="0" w:space="0" w:color="auto"/>
        <w:right w:val="none" w:sz="0" w:space="0" w:color="auto"/>
      </w:divBdr>
    </w:div>
    <w:div w:id="212572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rsonal@deutsche-finance.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F04A-0427-432A-BEC2-748429B3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Katharina Litke</cp:lastModifiedBy>
  <cp:revision>2</cp:revision>
  <cp:lastPrinted>2019-04-10T12:16:00Z</cp:lastPrinted>
  <dcterms:created xsi:type="dcterms:W3CDTF">2025-03-03T18:18:00Z</dcterms:created>
  <dcterms:modified xsi:type="dcterms:W3CDTF">2025-03-03T18:18:00Z</dcterms:modified>
</cp:coreProperties>
</file>